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8E265" w14:textId="0281BC91" w:rsidR="00141B33" w:rsidRDefault="00141B33" w:rsidP="00141B33">
      <w:pPr>
        <w:pStyle w:val="Cmsor1"/>
        <w:spacing w:before="0"/>
        <w:jc w:val="center"/>
      </w:pPr>
      <w:r>
        <w:t>Tájékoztató</w:t>
      </w:r>
      <w:r w:rsidR="00B341A9">
        <w:t xml:space="preserve"> és tudomásul vételi nyilatkozat</w:t>
      </w:r>
    </w:p>
    <w:p w14:paraId="00000001" w14:textId="241C1EDE" w:rsidR="004D533C" w:rsidRDefault="00393122" w:rsidP="00141B33">
      <w:pPr>
        <w:pStyle w:val="Cmsor1"/>
        <w:spacing w:before="0"/>
        <w:jc w:val="center"/>
      </w:pPr>
      <w:r>
        <w:t xml:space="preserve">AXING Zrt., </w:t>
      </w:r>
      <w:proofErr w:type="spellStart"/>
      <w:r>
        <w:t>Axing</w:t>
      </w:r>
      <w:proofErr w:type="spellEnd"/>
      <w:r>
        <w:t xml:space="preserve"> </w:t>
      </w:r>
      <w:proofErr w:type="spellStart"/>
      <w:r>
        <w:t>Invest</w:t>
      </w:r>
      <w:proofErr w:type="spellEnd"/>
      <w:r>
        <w:t xml:space="preserve"> Zrt. – Információbiztonsági Elvárásrendszer Szerződéses Partnerek Számára</w:t>
      </w:r>
    </w:p>
    <w:p w14:paraId="00000003" w14:textId="7C795155" w:rsidR="004D533C" w:rsidRDefault="003931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Verzió: 1.0</w:t>
      </w:r>
      <w:r>
        <w:rPr>
          <w:rFonts w:ascii="Calibri" w:eastAsia="Calibri" w:hAnsi="Calibri" w:cs="Calibri"/>
        </w:rPr>
        <w:br/>
        <w:t xml:space="preserve">Hatályos: 2025. </w:t>
      </w:r>
      <w:r w:rsidR="00780B04">
        <w:rPr>
          <w:rFonts w:ascii="Calibri" w:eastAsia="Calibri" w:hAnsi="Calibri" w:cs="Calibri"/>
        </w:rPr>
        <w:t>november</w:t>
      </w:r>
      <w:r>
        <w:rPr>
          <w:rFonts w:ascii="Calibri" w:eastAsia="Calibri" w:hAnsi="Calibri" w:cs="Calibri"/>
        </w:rPr>
        <w:t xml:space="preserve"> </w:t>
      </w:r>
      <w:r w:rsidR="00780B04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>-től visszavonásig</w:t>
      </w:r>
      <w:r>
        <w:rPr>
          <w:rFonts w:ascii="Calibri" w:eastAsia="Calibri" w:hAnsi="Calibri" w:cs="Calibri"/>
        </w:rPr>
        <w:br/>
        <w:t>Kibocsátó: AXING Tanácsadó és Szolgáltató Zrt.</w:t>
      </w:r>
      <w:r w:rsidR="00141B33">
        <w:rPr>
          <w:rFonts w:ascii="Calibri" w:eastAsia="Calibri" w:hAnsi="Calibri" w:cs="Calibri"/>
        </w:rPr>
        <w:t xml:space="preserve"> és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</w:t>
      </w:r>
    </w:p>
    <w:p w14:paraId="00000004" w14:textId="77777777" w:rsidR="004D533C" w:rsidRDefault="003931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Kapcsolódó dokumentumok:</w:t>
      </w:r>
    </w:p>
    <w:p w14:paraId="00000005" w14:textId="77777777" w:rsidR="004D533C" w:rsidRDefault="003931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Információbiztonsági Szabályzat </w:t>
      </w:r>
    </w:p>
    <w:p w14:paraId="00000006" w14:textId="77777777" w:rsidR="004D533C" w:rsidRDefault="003931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Jelszókezelési Szabályzat</w:t>
      </w:r>
    </w:p>
    <w:p w14:paraId="00000007" w14:textId="77777777" w:rsidR="004D533C" w:rsidRDefault="003931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Kockázatkezelési Szabályzat</w:t>
      </w:r>
    </w:p>
    <w:p w14:paraId="00000008" w14:textId="77777777" w:rsidR="004D533C" w:rsidRDefault="003931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BCP és DRP Szabályzat</w:t>
      </w:r>
    </w:p>
    <w:p w14:paraId="00000009" w14:textId="77777777" w:rsidR="004D533C" w:rsidRDefault="00393122">
      <w:pPr>
        <w:pStyle w:val="Cmsor2"/>
      </w:pPr>
      <w:r>
        <w:t xml:space="preserve">1. Cél és hatókör  </w:t>
      </w:r>
    </w:p>
    <w:p w14:paraId="0000000A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jelen dokumentum az AXING Zrt., az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(a továbbiakban együttesen: AXING) és szerződött partnerei, beszállítói, alvállalkozói közötti együttműködés során betartandó minimális információbiztonsági és </w:t>
      </w:r>
      <w:proofErr w:type="spellStart"/>
      <w:r>
        <w:rPr>
          <w:rFonts w:ascii="Calibri" w:eastAsia="Calibri" w:hAnsi="Calibri" w:cs="Calibri"/>
        </w:rPr>
        <w:t>kiberbiztonsági</w:t>
      </w:r>
      <w:proofErr w:type="spellEnd"/>
      <w:r>
        <w:rPr>
          <w:rFonts w:ascii="Calibri" w:eastAsia="Calibri" w:hAnsi="Calibri" w:cs="Calibri"/>
        </w:rPr>
        <w:t xml:space="preserve"> követelményeket rögzíti. A cél, hogy minden partneri tevékenység a NIS2 irányelv, a 2024. évi LXIX. törvény, valamint az AXING Zrt. és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belső információbiztonsági szabályzatai által meghatározott biztonsági szintet elérje és fenntartsa. A dokumentum kötelező érvényű minden olyan szerződéses partnerre, aki hozzáfér az AXING Zrt. és az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elektronikus információs rendszereihez (EIR), az AXING Zrt. és az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információit, adatállományait vagy infrastruktúráját kezeli, tárolja vagy továbbítja, illetve IT, fejlesztési, tanácsadási vagy üzemeltetési szolgáltatást nyújt.</w:t>
      </w:r>
    </w:p>
    <w:p w14:paraId="0000000B" w14:textId="77777777" w:rsidR="004D533C" w:rsidRDefault="00393122">
      <w:pPr>
        <w:pStyle w:val="Cmsor2"/>
      </w:pPr>
      <w:r>
        <w:t>2. Általános biztonsági kötelezettségek</w:t>
      </w:r>
    </w:p>
    <w:p w14:paraId="0000000C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az AXING Zrt. és az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által kiadott információbiztonsági és adatvédelmi szabályzatokat megismerni, és azok betartásáról írásban nyilatkozni.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felelős azért, hogy a saját munkavállalói, megbízottjai és alvállalkozói is ezen előírások szerint járjanak el, különös tekintettel az információkezelés, hozzáférés és biztonsági incidensek bejelentésének szabályaira.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biztosítani, hogy az együttműködés során minden személy, aki AXING-rendszerhez hozzáférést kap vagy AXING-adatot kezel, csak a feladat ellátásához szükséges legkisebb jogosultsággal rendelkezzen. A hozzáférések engedélyezését, módosítását és visszavonását dokumentálni kell.</w:t>
      </w:r>
    </w:p>
    <w:p w14:paraId="0000000D" w14:textId="77777777" w:rsidR="004D533C" w:rsidRDefault="00393122">
      <w:pPr>
        <w:pStyle w:val="Cmsor2"/>
      </w:pPr>
      <w:r>
        <w:t>3. Szerepkör-alapú biztonsági képzési kötelezettségek</w:t>
      </w:r>
    </w:p>
    <w:p w14:paraId="0000000E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gondoskodni arról, hogy minden olyan személy, aki hozzáférést kap az AXING elektronikus információs rendszereihez vagy az AXING által kezelt információkat dolgozza fel, a feladat megkezdése előtt elvégezze a szerepköréhez igazított információbiztonsági képzést. A képzés elvégzése az együttműködés megkezdésének előfeltétele, és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felel azért, hogy az oktatás dokumentált és igazolt legyen. A képzésnek ki kell </w:t>
      </w:r>
      <w:r>
        <w:rPr>
          <w:rFonts w:ascii="Calibri" w:eastAsia="Calibri" w:hAnsi="Calibri" w:cs="Calibri"/>
        </w:rPr>
        <w:lastRenderedPageBreak/>
        <w:t xml:space="preserve">terjednie az adatvédelemre, a jelszó- és hozzáférésbiztonságra, az incidenskezelési kötelezettségre, a </w:t>
      </w:r>
      <w:proofErr w:type="spellStart"/>
      <w:r>
        <w:rPr>
          <w:rFonts w:ascii="Calibri" w:eastAsia="Calibri" w:hAnsi="Calibri" w:cs="Calibri"/>
        </w:rPr>
        <w:t>kiberfenyegetések</w:t>
      </w:r>
      <w:proofErr w:type="spellEnd"/>
      <w:r>
        <w:rPr>
          <w:rFonts w:ascii="Calibri" w:eastAsia="Calibri" w:hAnsi="Calibri" w:cs="Calibri"/>
        </w:rPr>
        <w:t xml:space="preserve"> felismerésére, valamint a fizikai és logikai védelem alapelveire.</w:t>
      </w:r>
    </w:p>
    <w:p w14:paraId="0000000F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továbbá biztosítani, hogy évente legalább egyszer ismétlő biztonsági képzést tartson munkatársai számára, és minden új rendszer, folyamat vagy szabályzat-változás esetén frissítse a képzési anyagokat.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az AXING Zrt.-t és az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Zrt.-t érintő vagy saját rendszereikben bekövetkező biztonsági események tanulságait beépíteni a képzési folyamatába. A képzések elvégzését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igazolható módon dokumentálni és az AXING kérésére bemutatni. A dokumentáció hiánya súlyos szerződésszegésnek minősül.</w:t>
      </w:r>
    </w:p>
    <w:p w14:paraId="00000010" w14:textId="77777777" w:rsidR="004D533C" w:rsidRDefault="00393122">
      <w:pPr>
        <w:pStyle w:val="Cmsor2"/>
      </w:pPr>
      <w:r>
        <w:t>4. Technikai és szervezeti követelmények</w:t>
      </w:r>
    </w:p>
    <w:p w14:paraId="00000011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tevékenységét olyan módon végezni, hogy az AXING rendszereinek, adatainak és infrastruktúrájának bizalmassága, sértetlensége és rendelkezésre állása ne sérüljön. A jelszókezelési gyakorlatnak meg kell felelnie az AXING Jelszókezelési Szabályzatának: minden hozzáféréshez legalább 12 karakter hosszúságú, háromféle karaktertípust tartalmazó jelszót kell alkalmazni, és a jelszavakat legalább 180 naponként meg kell újítani. A kritikus rendszerekhez többlépcsős hitelesítés (MFA) használata kötelező. A jelszavak megosztása vagy közös használata tilos.</w:t>
      </w:r>
    </w:p>
    <w:p w14:paraId="00000012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a hozzáférések kezelését a legkisebb jogosultság elvére építeni. Minden hozzáférést egyedi azonosítóhoz kell kötni, és a hozzáféréseket naplózni kell. A munkaviszony megszűnésekor vagy a projekt lezárásakor a hozzáféréseket haladéktalanul törölni kell.</w:t>
      </w:r>
    </w:p>
    <w:p w14:paraId="00000013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Az adatátvitel és adatmegosztás kizárólag biztonságos, titkosított csatornán (pl. HTTPS, SFTP, VPN) történhet. Az AXING által átadott vagy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által feldolgozott adatokat harmadik félnek kizárólag az AXING előzetes írásos engedélyével lehet továbbítani.</w:t>
      </w:r>
    </w:p>
    <w:p w14:paraId="00000014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gondoskodni a fizikai védelemről is: az adathordozókhoz, szerverekhez, hálózati eszközökhöz és dokumentumokhoz való hozzáférés csak engedéllyel rendelkező személyek számára lehetséges.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biztosítja, hogy ezen területeken a belépések </w:t>
      </w:r>
      <w:proofErr w:type="spellStart"/>
      <w:r>
        <w:rPr>
          <w:rFonts w:ascii="Calibri" w:eastAsia="Calibri" w:hAnsi="Calibri" w:cs="Calibri"/>
        </w:rPr>
        <w:t>naplózottak</w:t>
      </w:r>
      <w:proofErr w:type="spellEnd"/>
      <w:r>
        <w:rPr>
          <w:rFonts w:ascii="Calibri" w:eastAsia="Calibri" w:hAnsi="Calibri" w:cs="Calibri"/>
        </w:rPr>
        <w:t xml:space="preserve"> és ellenőrizhetők legyenek.</w:t>
      </w:r>
    </w:p>
    <w:p w14:paraId="00000015" w14:textId="4965D5B0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a mentési és helyreállítási folyamatokat (BCP/DRP) az AXING szabályzataival összhangban működtetni. A kezelt adatoknak rendszeres mentésen kell alapulniuk, a mentések visszaállíthatóságát legalább évente egy alkalommal tesztelni kell. Az adatvesztést, adatmeghibásodást vagy biztonsági incidenst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azonnal bejelenteni az AXING Információbiztonsági Felelősének a bejelentes@axing.hu címen.</w:t>
      </w:r>
    </w:p>
    <w:p w14:paraId="00000016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minden biztonsági eseményt, sérülékenységet vagy adatvédelmi incidenst köteles 24 órán belül jelenteni. A jelentésnek tartalmaznia kell az esemény jellegét, az érintett rendszert, az időpontot és a megtett intézkedéseket.</w:t>
      </w:r>
    </w:p>
    <w:p w14:paraId="00000017" w14:textId="77777777" w:rsidR="004D533C" w:rsidRDefault="00393122">
      <w:pPr>
        <w:pStyle w:val="Cmsor2"/>
        <w:jc w:val="both"/>
      </w:pPr>
      <w:r>
        <w:t>5. Megfelelőség és ellenőrzés</w:t>
      </w:r>
    </w:p>
    <w:p w14:paraId="00000018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Az AXING Zrt. és az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 fenntartja a jogot arra, hogy bármikor auditálja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információbiztonsági gyakorlatát.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köteles az audit során együttműködni, adatot szolgáltatni, és a feltárt hiányosságokat a megadott határidőn belül megszüntetni. A szabályzat megsértése, a biztonsági előírások be nem tartása vagy a képzési kötelezettség elmulasztása súlyos szerződésszegésnek minősül, amely az együttműködés felfüggesztését vagy azonnali felmondását vonhatja maga után.</w:t>
      </w:r>
    </w:p>
    <w:p w14:paraId="00000019" w14:textId="77777777" w:rsidR="004D533C" w:rsidRDefault="00393122">
      <w:pPr>
        <w:pStyle w:val="Cmsor2"/>
        <w:jc w:val="both"/>
      </w:pPr>
      <w:r>
        <w:t>6. Nyilatkozat</w:t>
      </w:r>
    </w:p>
    <w:p w14:paraId="0000001A" w14:textId="7777777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kijelenti, hogy a jelen Információbiztonsági Elvárásrendszert, az AXING Zrt. és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 jelen dokumentumban rögzített szabályzatait megismerte, annak rendelkezéseit elfogadja, és a saját szervezetében, valamint alvállalkozói körében betartja. A </w:t>
      </w: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tudomásul veszi, hogy ezen elvárások teljesítése az AXING Zrt.-vel és az </w:t>
      </w:r>
      <w:proofErr w:type="spellStart"/>
      <w:r>
        <w:rPr>
          <w:rFonts w:ascii="Calibri" w:eastAsia="Calibri" w:hAnsi="Calibri" w:cs="Calibri"/>
        </w:rPr>
        <w:t>Axing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Invest</w:t>
      </w:r>
      <w:proofErr w:type="spellEnd"/>
      <w:r>
        <w:rPr>
          <w:rFonts w:ascii="Calibri" w:eastAsia="Calibri" w:hAnsi="Calibri" w:cs="Calibri"/>
        </w:rPr>
        <w:t xml:space="preserve"> Zrt.-vel való szerződéses együttműködés feltétele, és annak megszegése a szerződés azonnali hatályú megszüntetését eredményezheti.</w:t>
      </w:r>
    </w:p>
    <w:p w14:paraId="0000001B" w14:textId="2EF86997" w:rsidR="004D533C" w:rsidRDefault="0039312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Kelt: 2025.</w:t>
      </w:r>
      <w:r w:rsidR="00141B33">
        <w:rPr>
          <w:rFonts w:ascii="Calibri" w:eastAsia="Calibri" w:hAnsi="Calibri" w:cs="Calibri"/>
        </w:rPr>
        <w:t>.............................</w:t>
      </w:r>
    </w:p>
    <w:p w14:paraId="0000001C" w14:textId="77777777" w:rsidR="004D533C" w:rsidRDefault="004D533C">
      <w:pPr>
        <w:rPr>
          <w:rFonts w:ascii="Calibri" w:eastAsia="Calibri" w:hAnsi="Calibri" w:cs="Calibri"/>
        </w:rPr>
      </w:pPr>
    </w:p>
    <w:p w14:paraId="0000001D" w14:textId="77777777" w:rsidR="004D533C" w:rsidRDefault="00393122">
      <w:pPr>
        <w:jc w:val="center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t>.....................................................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highlight w:val="yellow"/>
        </w:rPr>
        <w:t>[név, beosztás]</w:t>
      </w:r>
    </w:p>
    <w:p w14:paraId="0000001E" w14:textId="77777777" w:rsidR="004D533C" w:rsidRDefault="0039312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yellow"/>
        </w:rPr>
        <w:t>[partner elnevezése]</w:t>
      </w:r>
      <w:r>
        <w:rPr>
          <w:rFonts w:ascii="Calibri" w:eastAsia="Calibri" w:hAnsi="Calibri" w:cs="Calibri"/>
        </w:rPr>
        <w:t xml:space="preserve"> képviseletében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</w:p>
    <w:sectPr w:rsidR="004D533C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2592" w14:textId="77777777" w:rsidR="004309E4" w:rsidRDefault="004309E4">
      <w:pPr>
        <w:spacing w:after="0" w:line="240" w:lineRule="auto"/>
      </w:pPr>
      <w:r>
        <w:separator/>
      </w:r>
    </w:p>
  </w:endnote>
  <w:endnote w:type="continuationSeparator" w:id="0">
    <w:p w14:paraId="569CC7DA" w14:textId="77777777" w:rsidR="004309E4" w:rsidRDefault="0043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C43441C-B9FE-438E-BB6C-739C2679EEBE}"/>
    <w:embedBold r:id="rId2" w:fontKey="{E3050345-43F4-4FF8-B4E1-9178C8F78EA1}"/>
    <w:embedItalic r:id="rId3" w:fontKey="{DE8B3907-52C4-4380-AE49-8CA61E641A1A}"/>
    <w:embedBoldItalic r:id="rId4" w:fontKey="{C12D4F43-7EBE-47F9-A42E-AD820E1687E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7B5912CC-9839-4702-9848-4DE2E6D99B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B04A531-0EA4-4EFC-A50D-B01E976DD04E}"/>
    <w:embedBold r:id="rId7" w:fontKey="{1003BF9B-2F70-4C65-BCE5-F8FDD7F5FC99}"/>
    <w:embedItalic r:id="rId8" w:fontKey="{B328813E-01B7-452C-A495-3BF6BF453647}"/>
    <w:embedBoldItalic r:id="rId9" w:fontKey="{FB2C949C-8193-4444-882A-A55D19967F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00DA8CB6" w:rsidR="004D533C" w:rsidRDefault="00393122">
    <w:pPr>
      <w:rPr>
        <w:rFonts w:ascii="Calibri" w:eastAsia="Calibri" w:hAnsi="Calibri" w:cs="Calibri"/>
      </w:rPr>
    </w:pPr>
    <w:r>
      <w:fldChar w:fldCharType="begin"/>
    </w:r>
    <w:r>
      <w:instrText>PAGE</w:instrText>
    </w:r>
    <w:r>
      <w:fldChar w:fldCharType="separate"/>
    </w:r>
    <w:r w:rsidR="00F93E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E8A0D" w14:textId="77777777" w:rsidR="004309E4" w:rsidRDefault="004309E4">
      <w:pPr>
        <w:spacing w:after="0" w:line="240" w:lineRule="auto"/>
      </w:pPr>
      <w:r>
        <w:separator/>
      </w:r>
    </w:p>
  </w:footnote>
  <w:footnote w:type="continuationSeparator" w:id="0">
    <w:p w14:paraId="60372366" w14:textId="77777777" w:rsidR="004309E4" w:rsidRDefault="0043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AAEBE" w14:textId="4A602967" w:rsidR="00141B33" w:rsidRDefault="00141B33">
    <w:pPr>
      <w:pStyle w:val="lfej"/>
    </w:pPr>
    <w:r>
      <w:tab/>
    </w:r>
    <w:r>
      <w:tab/>
    </w:r>
    <w:r>
      <w:rPr>
        <w:noProof/>
      </w:rPr>
      <w:drawing>
        <wp:inline distT="0" distB="0" distL="0" distR="0" wp14:anchorId="79BBD765" wp14:editId="3643385A">
          <wp:extent cx="1905000" cy="571500"/>
          <wp:effectExtent l="0" t="0" r="0" b="0"/>
          <wp:docPr id="1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314D2"/>
    <w:multiLevelType w:val="multilevel"/>
    <w:tmpl w:val="ECF65DE6"/>
    <w:lvl w:ilvl="0">
      <w:numFmt w:val="bullet"/>
      <w:pStyle w:val="Felsorols"/>
      <w:lvlText w:val="●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9C3FE9"/>
    <w:multiLevelType w:val="multilevel"/>
    <w:tmpl w:val="263AE1A8"/>
    <w:lvl w:ilvl="0">
      <w:start w:val="1"/>
      <w:numFmt w:val="decimal"/>
      <w:pStyle w:val="Felsorol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3C"/>
    <w:rsid w:val="00141B33"/>
    <w:rsid w:val="00393122"/>
    <w:rsid w:val="004309E4"/>
    <w:rsid w:val="004D533C"/>
    <w:rsid w:val="00780B04"/>
    <w:rsid w:val="00B341A9"/>
    <w:rsid w:val="00F9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4D3B"/>
  <w15:docId w15:val="{77BFF65B-84C0-47D5-96AE-9D049E95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Cmsor7">
    <w:name w:val="heading 7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lfej">
    <w:name w:val="header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Char">
    <w:name w:val="Cím Char"/>
    <w:basedOn w:val="Bekezdsalapbettpus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lcmChar">
    <w:name w:val="Alcím Char"/>
    <w:basedOn w:val="Bekezdsalapbettpusa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uiPriority w:val="34"/>
    <w:qFormat/>
    <w:rsid w:val="00FC693F"/>
    <w:pPr>
      <w:ind w:left="720"/>
      <w:contextualSpacing/>
    </w:pPr>
  </w:style>
  <w:style w:type="paragraph" w:styleId="Szvegtrzs">
    <w:name w:val="Body Text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zmozottlista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zmozottlista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Szmozottlista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folytats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uiPriority w:val="39"/>
    <w:semiHidden/>
    <w:unhideWhenUsed/>
    <w:qFormat/>
    <w:rsid w:val="00FC693F"/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lcm">
    <w:name w:val="Subtitle"/>
    <w:basedOn w:val="Norml"/>
    <w:next w:val="Norm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6PQBGZGg55H+Suk00HCinMDD2g==">CgMxLjA4AHIhMXEwUk0yb1hSZmtQbG8xY0ViZkhFVkM1QzVUTm1lVDgw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856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Borbála Pusztai</cp:lastModifiedBy>
  <cp:revision>4</cp:revision>
  <dcterms:created xsi:type="dcterms:W3CDTF">2025-11-21T14:23:00Z</dcterms:created>
  <dcterms:modified xsi:type="dcterms:W3CDTF">2025-11-21T15:14:00Z</dcterms:modified>
</cp:coreProperties>
</file>